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3E3A" w:rsidRDefault="00F53E3A">
      <w:bookmarkStart w:id="0" w:name="_GoBack"/>
      <w:bookmarkEnd w:id="0"/>
    </w:p>
    <w:p w:rsidR="00F53E3A" w:rsidRDefault="00254BF2">
      <w:pPr>
        <w:spacing w:line="240" w:lineRule="auto"/>
      </w:pPr>
      <w:bookmarkStart w:id="1" w:name="_gjdgxs" w:colFirst="0" w:colLast="0"/>
      <w:bookmarkEnd w:id="1"/>
      <w:r>
        <w:rPr>
          <w:b/>
        </w:rPr>
        <w:t xml:space="preserve">TO: </w:t>
      </w:r>
      <w:r>
        <w:rPr>
          <w:b/>
        </w:rPr>
        <w:tab/>
      </w:r>
      <w:r>
        <w:rPr>
          <w:b/>
        </w:rPr>
        <w:tab/>
        <w:t xml:space="preserve"> Michael Bebawy, President of the Student Senate</w:t>
      </w:r>
    </w:p>
    <w:p w:rsidR="00F53E3A" w:rsidRDefault="00254BF2">
      <w:pPr>
        <w:spacing w:after="0" w:line="240" w:lineRule="auto"/>
      </w:pPr>
      <w:r>
        <w:rPr>
          <w:b/>
        </w:rPr>
        <w:t>FROM:</w:t>
      </w:r>
      <w:r>
        <w:rPr>
          <w:b/>
        </w:rPr>
        <w:tab/>
      </w:r>
      <w:r>
        <w:rPr>
          <w:b/>
        </w:rPr>
        <w:tab/>
        <w:t>The Society of Musical Arts (SOMA) and the NJIT Music Committee</w:t>
      </w:r>
    </w:p>
    <w:p w:rsidR="00F53E3A" w:rsidRDefault="00254BF2">
      <w:pPr>
        <w:spacing w:after="0" w:line="240" w:lineRule="auto"/>
      </w:pPr>
      <w:r>
        <w:rPr>
          <w:b/>
        </w:rPr>
        <w:tab/>
      </w:r>
      <w:r>
        <w:rPr>
          <w:b/>
        </w:rPr>
        <w:tab/>
        <w:t xml:space="preserve">Erica Holzer, SOMA President </w:t>
      </w:r>
    </w:p>
    <w:p w:rsidR="00F53E3A" w:rsidRDefault="00254BF2">
      <w:pPr>
        <w:spacing w:after="0" w:line="240" w:lineRule="auto"/>
      </w:pPr>
      <w:r>
        <w:rPr>
          <w:b/>
        </w:rPr>
        <w:tab/>
      </w:r>
      <w:r>
        <w:rPr>
          <w:b/>
        </w:rPr>
        <w:tab/>
        <w:t xml:space="preserve">Colin Pope, Katherine Coombs , SOMA Co-Vice Presidents </w:t>
      </w:r>
    </w:p>
    <w:p w:rsidR="00F53E3A" w:rsidRDefault="00254BF2">
      <w:pPr>
        <w:spacing w:after="0" w:line="240" w:lineRule="auto"/>
      </w:pPr>
      <w:r>
        <w:rPr>
          <w:b/>
        </w:rPr>
        <w:tab/>
      </w:r>
      <w:r>
        <w:rPr>
          <w:b/>
        </w:rPr>
        <w:tab/>
        <w:t>Charles R. Brooks, Ph.D., Music Initiative Committee Representative</w:t>
      </w:r>
    </w:p>
    <w:p w:rsidR="00F53E3A" w:rsidRDefault="00F53E3A">
      <w:pPr>
        <w:spacing w:after="0" w:line="240" w:lineRule="auto"/>
      </w:pPr>
    </w:p>
    <w:p w:rsidR="00F53E3A" w:rsidRDefault="00254BF2">
      <w:pPr>
        <w:spacing w:line="240" w:lineRule="auto"/>
        <w:ind w:left="1440" w:hanging="1440"/>
      </w:pPr>
      <w:r>
        <w:rPr>
          <w:b/>
        </w:rPr>
        <w:t>SUBJECT:</w:t>
      </w:r>
      <w:r>
        <w:rPr>
          <w:b/>
        </w:rPr>
        <w:tab/>
        <w:t>Proposal to Support the Open-Access Music Room and Student Musical Performances</w:t>
      </w:r>
    </w:p>
    <w:p w:rsidR="00F53E3A" w:rsidRDefault="00254BF2">
      <w:pPr>
        <w:spacing w:line="240" w:lineRule="auto"/>
      </w:pPr>
      <w:r>
        <w:rPr>
          <w:b/>
        </w:rPr>
        <w:t>DATE:</w:t>
      </w:r>
      <w:r>
        <w:rPr>
          <w:b/>
        </w:rPr>
        <w:tab/>
      </w:r>
      <w:r>
        <w:rPr>
          <w:b/>
        </w:rPr>
        <w:tab/>
      </w:r>
      <w:r w:rsidR="00AA4641">
        <w:rPr>
          <w:b/>
        </w:rPr>
        <w:t>October 13</w:t>
      </w:r>
      <w:r>
        <w:rPr>
          <w:b/>
        </w:rPr>
        <w:t>, 2016</w:t>
      </w:r>
    </w:p>
    <w:p w:rsidR="00F53E3A" w:rsidRDefault="00254BF2">
      <w:pPr>
        <w:spacing w:line="240" w:lineRule="auto"/>
      </w:pPr>
      <w:r>
        <w:t>The Society of Musical Arts (SOMA) in collaboration with the NJIT Music Initiative Committee, and on behalf of all student musicians at NJIT, request funding from the Student Senate to make the SOMA  open-access music room (B-49) and our three music ensembles functional and sustainable into the future. The funds requested will be used to purchase necessary storage units for instruments in the music room and provide additional instruments needed for general student use and for our three student performance musical groups: the string ensemble, the wind ensemble, and the jazz ensemble.</w:t>
      </w:r>
    </w:p>
    <w:p w:rsidR="00F53E3A" w:rsidRDefault="00254BF2">
      <w:pPr>
        <w:spacing w:after="0" w:line="240" w:lineRule="auto"/>
      </w:pPr>
      <w:r>
        <w:rPr>
          <w:b/>
        </w:rPr>
        <w:t>History of NJIT Music Initiative</w:t>
      </w:r>
    </w:p>
    <w:p w:rsidR="00F53E3A" w:rsidRDefault="00254BF2">
      <w:pPr>
        <w:spacing w:after="0" w:line="240" w:lineRule="auto"/>
      </w:pPr>
      <w:r>
        <w:rPr>
          <w:u w:val="single"/>
        </w:rPr>
        <w:t>SOMA and the NJIT Music Committee</w:t>
      </w:r>
    </w:p>
    <w:p w:rsidR="00F53E3A" w:rsidRDefault="00254BF2">
      <w:pPr>
        <w:spacing w:line="240" w:lineRule="auto"/>
      </w:pPr>
      <w:r>
        <w:t xml:space="preserve">In 2012, students Matt Lavine and Eric Holzer formed the Society of Musical Arts (SOMA) and the initial small membership began to perform at a variety of NJIT events at the request of Campus Center and other NJIT entities. In 2013, a university-wide music committee was established to collaborate with SOMA to explore starting a music initiative that would provide opportunities for the many students who expressed interest to play in performing ensembles. </w:t>
      </w:r>
    </w:p>
    <w:p w:rsidR="00F53E3A" w:rsidRDefault="00254BF2">
      <w:pPr>
        <w:spacing w:after="0" w:line="240" w:lineRule="auto"/>
      </w:pPr>
      <w:r>
        <w:rPr>
          <w:u w:val="single"/>
        </w:rPr>
        <w:t>2013 Music Survey</w:t>
      </w:r>
    </w:p>
    <w:p w:rsidR="00F53E3A" w:rsidRDefault="00254BF2">
      <w:pPr>
        <w:spacing w:after="0" w:line="240" w:lineRule="auto"/>
      </w:pPr>
      <w:r>
        <w:t xml:space="preserve">That year, a survey administered to the student body showed over 800 students had musical experience in high school and wished to play in a band or orchestra if their schedules permitted. </w:t>
      </w:r>
    </w:p>
    <w:p w:rsidR="00F53E3A" w:rsidRDefault="00F53E3A">
      <w:pPr>
        <w:spacing w:after="0" w:line="240" w:lineRule="auto"/>
      </w:pPr>
    </w:p>
    <w:p w:rsidR="00F53E3A" w:rsidRDefault="00254BF2">
      <w:pPr>
        <w:spacing w:after="0" w:line="240" w:lineRule="auto"/>
      </w:pPr>
      <w:r>
        <w:rPr>
          <w:u w:val="single"/>
        </w:rPr>
        <w:t>Formation of the Wind, String, and Jazz Ensembles</w:t>
      </w:r>
    </w:p>
    <w:p w:rsidR="00F53E3A" w:rsidRDefault="00254BF2">
      <w:pPr>
        <w:spacing w:after="0" w:line="240" w:lineRule="auto"/>
      </w:pPr>
      <w:r>
        <w:t>In the Fall of 2014, with a small grants from the Bergen Foundation and the Rauch Family Foundation, the three music groups were started. Three professional conductors—one for each ensemble-- were invited to initiate the program and well-attended concerts have been performed at the end of the Fall 2014, Spring 2015, and Fall 2015, and Spring 2016 semesters. Smaller instrumental student groups have also played at open houses, alumni events and other venues, responding to many requests. Furthermore, the NJIT Athletic Department has requested us to form a Pep Band which to enhance  school spirit at basketball games and other sporting events.  All these events have given our student musical groups wide visibility, raising NJIT’s profile on campus and beyond.</w:t>
      </w:r>
    </w:p>
    <w:p w:rsidR="00F53E3A" w:rsidRDefault="00F53E3A">
      <w:pPr>
        <w:spacing w:line="240" w:lineRule="auto"/>
      </w:pPr>
    </w:p>
    <w:p w:rsidR="00F53E3A" w:rsidRDefault="00254BF2">
      <w:pPr>
        <w:spacing w:after="0" w:line="240" w:lineRule="auto"/>
      </w:pPr>
      <w:r>
        <w:rPr>
          <w:u w:val="single"/>
        </w:rPr>
        <w:t>Playing for Credit; More Students Playing</w:t>
      </w:r>
    </w:p>
    <w:p w:rsidR="00F53E3A" w:rsidRDefault="00254BF2">
      <w:pPr>
        <w:spacing w:after="0" w:line="240" w:lineRule="auto"/>
      </w:pPr>
      <w:r>
        <w:t>In Spring 2015, three academic music class sections (THTR 220/221, sections 001, 002, and 003) were formed and approved by the provost, allowing student performers, if they wished, to register for one credit per semester, up to three semesters. This allowed us to pay the conductors as adjunct instructors. This semester, with the addition of the freshman musicians, 75 students are playing in the wind ensemble, 40 in the string ensemble, and 40 are in the jazz ensemble.</w:t>
      </w:r>
    </w:p>
    <w:p w:rsidR="00F53E3A" w:rsidRDefault="00F53E3A">
      <w:pPr>
        <w:spacing w:after="0" w:line="240" w:lineRule="auto"/>
      </w:pPr>
    </w:p>
    <w:p w:rsidR="00F53E3A" w:rsidRDefault="00F53E3A">
      <w:pPr>
        <w:spacing w:after="0" w:line="240" w:lineRule="auto"/>
      </w:pPr>
    </w:p>
    <w:p w:rsidR="00F53E3A" w:rsidRDefault="00F53E3A">
      <w:pPr>
        <w:spacing w:after="0" w:line="240" w:lineRule="auto"/>
      </w:pPr>
    </w:p>
    <w:p w:rsidR="00F53E3A" w:rsidRDefault="00F53E3A">
      <w:pPr>
        <w:spacing w:after="0" w:line="240" w:lineRule="auto"/>
      </w:pPr>
    </w:p>
    <w:p w:rsidR="00F53E3A" w:rsidRDefault="00F53E3A">
      <w:pPr>
        <w:spacing w:after="0" w:line="240" w:lineRule="auto"/>
      </w:pPr>
    </w:p>
    <w:p w:rsidR="00F53E3A" w:rsidRDefault="00F53E3A">
      <w:pPr>
        <w:spacing w:after="0" w:line="240" w:lineRule="auto"/>
      </w:pPr>
    </w:p>
    <w:p w:rsidR="00F53E3A" w:rsidRDefault="00254BF2">
      <w:pPr>
        <w:spacing w:after="0" w:line="240" w:lineRule="auto"/>
      </w:pPr>
      <w:r>
        <w:rPr>
          <w:u w:val="single"/>
        </w:rPr>
        <w:t>Fall 2016 Incoming Freshmen Orientation Survey</w:t>
      </w:r>
    </w:p>
    <w:p w:rsidR="00F53E3A" w:rsidRDefault="00254BF2">
      <w:pPr>
        <w:spacing w:after="0" w:line="240" w:lineRule="auto"/>
      </w:pPr>
      <w:r>
        <w:t xml:space="preserve">During summer orientations an online survey was sent to all incoming freshmen. The survey indicated over 85% of the responding new freshmen answered “ </w:t>
      </w:r>
      <w:r>
        <w:rPr>
          <w:u w:val="single"/>
        </w:rPr>
        <w:t>yes”</w:t>
      </w:r>
      <w:r>
        <w:t xml:space="preserve"> to the question : “Do you feel that having opportunities to play music with others and having a music program on the campus would enhance your experience at NJIT?” Furthermore, 159 of the incoming Fall 2016 freshmen indicated that they played an instrument and would like to participate in one of our music groups if their schedules permitted. Over 100 incoming 2016 freshmen have joined SOMA and one of the performing groups so far, which began rehearsals the first week of this semester. Others plan to join in the spring after their first hectic semester at the university.</w:t>
      </w:r>
    </w:p>
    <w:p w:rsidR="00F53E3A" w:rsidRDefault="00F53E3A">
      <w:pPr>
        <w:spacing w:after="0" w:line="240" w:lineRule="auto"/>
      </w:pPr>
    </w:p>
    <w:p w:rsidR="00F53E3A" w:rsidRDefault="00254BF2">
      <w:pPr>
        <w:spacing w:after="0" w:line="240" w:lineRule="auto"/>
      </w:pPr>
      <w:r>
        <w:rPr>
          <w:b/>
        </w:rPr>
        <w:t xml:space="preserve">Student Senate Support of SOMA and the Music Initiative;  Security of Room </w:t>
      </w:r>
    </w:p>
    <w:p w:rsidR="00F53E3A" w:rsidRDefault="00254BF2">
      <w:pPr>
        <w:spacing w:after="0" w:line="240" w:lineRule="auto"/>
      </w:pPr>
      <w:r>
        <w:t>In Spring 2016, the Student Senate provided funding to create an open-access music room to give NJIT musicians a place to practice and explore their musical interests, and some basic instruments were purchased with this funding.  Campus Center assigned room B-49 to SOMA for this purpose and university administration provided funding for work-study student monitors so that the room can be open daily from 9:00 AM to 9:00 PM. The room has also been fitted with a security system to make sure the equipment there is safe and only selected individuals can open it. The room will be open starting the third week of the Fall semester. Since the success of our music initiative and the enthusiastic response of new freshmen have been so overwhelming, additional instruments are needed to fulfill the needs of our students and storage units are needed to securely organize the room.</w:t>
      </w:r>
    </w:p>
    <w:p w:rsidR="00F53E3A" w:rsidRDefault="00F53E3A">
      <w:pPr>
        <w:spacing w:line="240" w:lineRule="auto"/>
      </w:pPr>
    </w:p>
    <w:p w:rsidR="00F53E3A" w:rsidRDefault="00254BF2">
      <w:pPr>
        <w:spacing w:after="0" w:line="240" w:lineRule="auto"/>
      </w:pPr>
      <w:r>
        <w:rPr>
          <w:b/>
        </w:rPr>
        <w:t>Benefit to NJIT Students and Beyond</w:t>
      </w:r>
    </w:p>
    <w:p w:rsidR="00F53E3A" w:rsidRDefault="00254BF2">
      <w:pPr>
        <w:spacing w:after="0" w:line="240" w:lineRule="auto"/>
      </w:pPr>
      <w:r>
        <w:t>The instruments, equipment, and supplies that have been and will be purchased will be accessible to all NJIT student musicians. Our intention is to make the instruments as widely available to NJIT students as possible, whether they join one of the performing ensembles or not. Furthermore, all NJIT students benefit from having a musical program that enhances campus life through concerts and other performances during the year.</w:t>
      </w:r>
    </w:p>
    <w:p w:rsidR="00F53E3A" w:rsidRDefault="00F53E3A">
      <w:pPr>
        <w:spacing w:after="0" w:line="240" w:lineRule="auto"/>
      </w:pPr>
    </w:p>
    <w:p w:rsidR="00F53E3A" w:rsidRDefault="00254BF2">
      <w:pPr>
        <w:spacing w:after="0" w:line="240" w:lineRule="auto"/>
      </w:pPr>
      <w:r>
        <w:t>SOMA and the NJIT music initiative have enhanced the quality of life for students, faculty, staff, and friends who visit our campus. Many outside guests, including members of Board of Trustees and family members of the student musicians, expressed their excitement about the music initiative and commented on how it enhances the image of the university. As our provost said after the Fall 2015 concert, “It’s a miracle.” This proposal asksfor your consideration for funding that will allow this “miracle” to continue and benefit even more students at the university</w:t>
      </w:r>
    </w:p>
    <w:p w:rsidR="00F53E3A" w:rsidRDefault="00F53E3A">
      <w:pPr>
        <w:spacing w:after="0" w:line="240" w:lineRule="auto"/>
      </w:pPr>
    </w:p>
    <w:p w:rsidR="00F53E3A" w:rsidRDefault="00254BF2">
      <w:pPr>
        <w:spacing w:after="0" w:line="240" w:lineRule="auto"/>
      </w:pPr>
      <w:r>
        <w:rPr>
          <w:b/>
        </w:rPr>
        <w:t>Details of the Funding Request</w:t>
      </w:r>
    </w:p>
    <w:p w:rsidR="00F53E3A" w:rsidRDefault="00254BF2">
      <w:pPr>
        <w:spacing w:after="0" w:line="240" w:lineRule="auto"/>
      </w:pPr>
      <w:r>
        <w:t>This funding request will give more NJIT students access to instruments they play but do not own. This especially includes larger instruments that are often too expensive for students to purchase themselves, but are necessary in a band or orchestra. Besides the instruments listed below, storage units and folders will allow us to professionally organize and secure the equipment and music NJIT owns. The total request is for $24,322 as follows:</w:t>
      </w:r>
    </w:p>
    <w:p w:rsidR="00F53E3A" w:rsidRDefault="00F53E3A">
      <w:pPr>
        <w:spacing w:after="0" w:line="240" w:lineRule="auto"/>
      </w:pPr>
    </w:p>
    <w:p w:rsidR="00F53E3A" w:rsidRDefault="00F53E3A">
      <w:pPr>
        <w:spacing w:after="0" w:line="240" w:lineRule="auto"/>
      </w:pPr>
    </w:p>
    <w:p w:rsidR="00F53E3A" w:rsidRDefault="00F53E3A">
      <w:pPr>
        <w:spacing w:after="0" w:line="240" w:lineRule="auto"/>
      </w:pPr>
    </w:p>
    <w:p w:rsidR="00F53E3A" w:rsidRDefault="00F53E3A">
      <w:pPr>
        <w:spacing w:after="0" w:line="240" w:lineRule="auto"/>
      </w:pPr>
    </w:p>
    <w:p w:rsidR="00F53E3A" w:rsidRDefault="00F53E3A">
      <w:pPr>
        <w:spacing w:after="0" w:line="240" w:lineRule="auto"/>
      </w:pPr>
    </w:p>
    <w:p w:rsidR="00F53E3A" w:rsidRDefault="00F53E3A">
      <w:pPr>
        <w:spacing w:after="0"/>
      </w:pPr>
    </w:p>
    <w:p w:rsidR="00F53E3A" w:rsidRDefault="00F53E3A">
      <w:pPr>
        <w:spacing w:after="0"/>
      </w:pPr>
    </w:p>
    <w:p w:rsidR="00F53E3A" w:rsidRDefault="00F53E3A">
      <w:pPr>
        <w:tabs>
          <w:tab w:val="center" w:pos="4680"/>
          <w:tab w:val="right" w:pos="9360"/>
        </w:tabs>
        <w:spacing w:after="0" w:line="240" w:lineRule="auto"/>
        <w:jc w:val="center"/>
      </w:pPr>
    </w:p>
    <w:p w:rsidR="00F53E3A" w:rsidRDefault="00F53E3A">
      <w:pPr>
        <w:tabs>
          <w:tab w:val="center" w:pos="4680"/>
          <w:tab w:val="right" w:pos="9360"/>
        </w:tabs>
        <w:spacing w:after="0" w:line="240" w:lineRule="auto"/>
        <w:jc w:val="center"/>
      </w:pPr>
    </w:p>
    <w:p w:rsidR="00F53E3A" w:rsidRDefault="00F53E3A">
      <w:pPr>
        <w:tabs>
          <w:tab w:val="center" w:pos="4680"/>
          <w:tab w:val="right" w:pos="9360"/>
        </w:tabs>
        <w:spacing w:after="0" w:line="240" w:lineRule="auto"/>
        <w:jc w:val="center"/>
      </w:pPr>
    </w:p>
    <w:p w:rsidR="00F53E3A" w:rsidRDefault="00F53E3A">
      <w:pPr>
        <w:tabs>
          <w:tab w:val="center" w:pos="4680"/>
          <w:tab w:val="right" w:pos="9360"/>
        </w:tabs>
        <w:spacing w:after="0" w:line="240" w:lineRule="auto"/>
        <w:jc w:val="center"/>
      </w:pPr>
    </w:p>
    <w:p w:rsidR="00F53E3A" w:rsidRDefault="00F53E3A">
      <w:pPr>
        <w:tabs>
          <w:tab w:val="center" w:pos="4680"/>
          <w:tab w:val="right" w:pos="9360"/>
        </w:tabs>
        <w:spacing w:after="0" w:line="240" w:lineRule="auto"/>
        <w:jc w:val="center"/>
      </w:pPr>
    </w:p>
    <w:p w:rsidR="00F53E3A" w:rsidRDefault="00F53E3A">
      <w:pPr>
        <w:tabs>
          <w:tab w:val="center" w:pos="4680"/>
          <w:tab w:val="right" w:pos="9360"/>
        </w:tabs>
        <w:spacing w:after="0" w:line="240" w:lineRule="auto"/>
      </w:pPr>
    </w:p>
    <w:p w:rsidR="00F53E3A" w:rsidRDefault="00254BF2">
      <w:pPr>
        <w:jc w:val="center"/>
      </w:pPr>
      <w:r>
        <w:rPr>
          <w:b/>
          <w:sz w:val="32"/>
          <w:szCs w:val="32"/>
          <w:u w:val="single"/>
        </w:rPr>
        <w:t>SOMA/MUSIC INITIATIVE REQUEST –</w:t>
      </w:r>
      <w:r w:rsidR="003E5944">
        <w:rPr>
          <w:b/>
          <w:sz w:val="32"/>
          <w:szCs w:val="32"/>
          <w:u w:val="single"/>
        </w:rPr>
        <w:t>October</w:t>
      </w:r>
      <w:r>
        <w:rPr>
          <w:b/>
          <w:sz w:val="32"/>
          <w:szCs w:val="32"/>
          <w:u w:val="single"/>
        </w:rPr>
        <w:t>, 2016</w:t>
      </w:r>
    </w:p>
    <w:p w:rsidR="003E5944" w:rsidRDefault="003E5944" w:rsidP="003E5944">
      <w:pPr>
        <w:jc w:val="center"/>
        <w:rPr>
          <w:b/>
          <w:sz w:val="28"/>
          <w:szCs w:val="28"/>
          <w:u w:val="single"/>
        </w:rPr>
      </w:pPr>
    </w:p>
    <w:tbl>
      <w:tblPr>
        <w:tblStyle w:val="TableGrid"/>
        <w:tblW w:w="0" w:type="auto"/>
        <w:tblLook w:val="04A0" w:firstRow="1" w:lastRow="0" w:firstColumn="1" w:lastColumn="0" w:noHBand="0" w:noVBand="1"/>
      </w:tblPr>
      <w:tblGrid>
        <w:gridCol w:w="877"/>
        <w:gridCol w:w="2315"/>
        <w:gridCol w:w="1596"/>
        <w:gridCol w:w="1596"/>
        <w:gridCol w:w="1596"/>
        <w:gridCol w:w="1596"/>
      </w:tblGrid>
      <w:tr w:rsidR="003E5944" w:rsidTr="007E2EDF">
        <w:tc>
          <w:tcPr>
            <w:tcW w:w="877" w:type="dxa"/>
          </w:tcPr>
          <w:p w:rsidR="003E5944" w:rsidRPr="00500A8E" w:rsidRDefault="003E5944" w:rsidP="007E2EDF">
            <w:pPr>
              <w:jc w:val="center"/>
              <w:rPr>
                <w:b/>
                <w:sz w:val="28"/>
                <w:szCs w:val="28"/>
              </w:rPr>
            </w:pPr>
            <w:r>
              <w:rPr>
                <w:b/>
                <w:sz w:val="28"/>
                <w:szCs w:val="28"/>
              </w:rPr>
              <w:t>QNTY</w:t>
            </w:r>
          </w:p>
        </w:tc>
        <w:tc>
          <w:tcPr>
            <w:tcW w:w="2315" w:type="dxa"/>
          </w:tcPr>
          <w:p w:rsidR="003E5944" w:rsidRPr="00500A8E" w:rsidRDefault="003E5944" w:rsidP="007E2EDF">
            <w:pPr>
              <w:jc w:val="center"/>
              <w:rPr>
                <w:b/>
                <w:sz w:val="28"/>
                <w:szCs w:val="28"/>
              </w:rPr>
            </w:pPr>
            <w:r>
              <w:rPr>
                <w:b/>
                <w:sz w:val="28"/>
                <w:szCs w:val="28"/>
              </w:rPr>
              <w:t>NAME</w:t>
            </w:r>
          </w:p>
        </w:tc>
        <w:tc>
          <w:tcPr>
            <w:tcW w:w="1596" w:type="dxa"/>
          </w:tcPr>
          <w:p w:rsidR="003E5944" w:rsidRPr="00500A8E" w:rsidRDefault="003E5944" w:rsidP="007E2EDF">
            <w:pPr>
              <w:jc w:val="center"/>
              <w:rPr>
                <w:b/>
                <w:sz w:val="28"/>
                <w:szCs w:val="28"/>
              </w:rPr>
            </w:pPr>
            <w:r>
              <w:rPr>
                <w:b/>
                <w:sz w:val="28"/>
                <w:szCs w:val="28"/>
              </w:rPr>
              <w:t>MAKE</w:t>
            </w:r>
          </w:p>
        </w:tc>
        <w:tc>
          <w:tcPr>
            <w:tcW w:w="1596" w:type="dxa"/>
          </w:tcPr>
          <w:p w:rsidR="003E5944" w:rsidRPr="00500A8E" w:rsidRDefault="003E5944" w:rsidP="007E2EDF">
            <w:pPr>
              <w:jc w:val="center"/>
              <w:rPr>
                <w:b/>
                <w:sz w:val="28"/>
                <w:szCs w:val="28"/>
              </w:rPr>
            </w:pPr>
            <w:r w:rsidRPr="00500A8E">
              <w:rPr>
                <w:b/>
                <w:sz w:val="28"/>
                <w:szCs w:val="28"/>
              </w:rPr>
              <w:t>VENDOR</w:t>
            </w:r>
          </w:p>
        </w:tc>
        <w:tc>
          <w:tcPr>
            <w:tcW w:w="1596" w:type="dxa"/>
          </w:tcPr>
          <w:p w:rsidR="003E5944" w:rsidRPr="00500A8E" w:rsidRDefault="003E5944" w:rsidP="007E2EDF">
            <w:pPr>
              <w:jc w:val="center"/>
              <w:rPr>
                <w:b/>
                <w:sz w:val="28"/>
                <w:szCs w:val="28"/>
              </w:rPr>
            </w:pPr>
            <w:r w:rsidRPr="00500A8E">
              <w:rPr>
                <w:b/>
                <w:sz w:val="28"/>
                <w:szCs w:val="28"/>
              </w:rPr>
              <w:t>UNIT</w:t>
            </w:r>
          </w:p>
        </w:tc>
        <w:tc>
          <w:tcPr>
            <w:tcW w:w="1596" w:type="dxa"/>
          </w:tcPr>
          <w:p w:rsidR="003E5944" w:rsidRPr="00500A8E" w:rsidRDefault="003E5944" w:rsidP="007E2EDF">
            <w:pPr>
              <w:jc w:val="center"/>
              <w:rPr>
                <w:b/>
                <w:sz w:val="28"/>
                <w:szCs w:val="28"/>
              </w:rPr>
            </w:pPr>
            <w:r w:rsidRPr="00500A8E">
              <w:rPr>
                <w:b/>
                <w:sz w:val="28"/>
                <w:szCs w:val="28"/>
              </w:rPr>
              <w:t>TOTAL</w:t>
            </w:r>
          </w:p>
        </w:tc>
      </w:tr>
      <w:tr w:rsidR="003E5944" w:rsidTr="007E2EDF">
        <w:tc>
          <w:tcPr>
            <w:tcW w:w="877" w:type="dxa"/>
          </w:tcPr>
          <w:p w:rsidR="003E5944" w:rsidRPr="00500A8E" w:rsidRDefault="003E5944" w:rsidP="007E2EDF">
            <w:pPr>
              <w:jc w:val="center"/>
              <w:rPr>
                <w:sz w:val="24"/>
                <w:szCs w:val="24"/>
              </w:rPr>
            </w:pPr>
            <w:r w:rsidRPr="00500A8E">
              <w:rPr>
                <w:sz w:val="24"/>
                <w:szCs w:val="24"/>
              </w:rPr>
              <w:t>1</w:t>
            </w:r>
          </w:p>
        </w:tc>
        <w:tc>
          <w:tcPr>
            <w:tcW w:w="2315" w:type="dxa"/>
          </w:tcPr>
          <w:p w:rsidR="003E5944" w:rsidRPr="00500A8E" w:rsidRDefault="003E5944" w:rsidP="007E2EDF">
            <w:pPr>
              <w:jc w:val="center"/>
              <w:rPr>
                <w:sz w:val="24"/>
                <w:szCs w:val="24"/>
              </w:rPr>
            </w:pPr>
            <w:r w:rsidRPr="00500A8E">
              <w:rPr>
                <w:sz w:val="24"/>
                <w:szCs w:val="24"/>
              </w:rPr>
              <w:t>OBOE</w:t>
            </w:r>
          </w:p>
        </w:tc>
        <w:tc>
          <w:tcPr>
            <w:tcW w:w="1596" w:type="dxa"/>
          </w:tcPr>
          <w:p w:rsidR="003E5944" w:rsidRPr="00500A8E" w:rsidRDefault="003E5944" w:rsidP="007E2EDF">
            <w:pPr>
              <w:jc w:val="center"/>
              <w:rPr>
                <w:sz w:val="24"/>
                <w:szCs w:val="24"/>
              </w:rPr>
            </w:pPr>
            <w:r w:rsidRPr="00500A8E">
              <w:rPr>
                <w:sz w:val="24"/>
                <w:szCs w:val="24"/>
              </w:rPr>
              <w:t>SELMER</w:t>
            </w:r>
          </w:p>
        </w:tc>
        <w:tc>
          <w:tcPr>
            <w:tcW w:w="1596" w:type="dxa"/>
          </w:tcPr>
          <w:p w:rsidR="003E5944" w:rsidRPr="00500A8E" w:rsidRDefault="003E5944" w:rsidP="007E2EDF">
            <w:pPr>
              <w:jc w:val="center"/>
              <w:rPr>
                <w:sz w:val="24"/>
                <w:szCs w:val="24"/>
              </w:rPr>
            </w:pPr>
            <w:r w:rsidRPr="00500A8E">
              <w:rPr>
                <w:sz w:val="24"/>
                <w:szCs w:val="24"/>
              </w:rPr>
              <w:t>NEMC</w:t>
            </w:r>
          </w:p>
        </w:tc>
        <w:tc>
          <w:tcPr>
            <w:tcW w:w="1596" w:type="dxa"/>
          </w:tcPr>
          <w:p w:rsidR="003E5944" w:rsidRPr="00500A8E" w:rsidRDefault="003E5944" w:rsidP="007E2EDF">
            <w:pPr>
              <w:jc w:val="center"/>
              <w:rPr>
                <w:sz w:val="24"/>
                <w:szCs w:val="24"/>
              </w:rPr>
            </w:pPr>
            <w:r w:rsidRPr="00500A8E">
              <w:rPr>
                <w:sz w:val="24"/>
                <w:szCs w:val="24"/>
              </w:rPr>
              <w:t>$1530</w:t>
            </w:r>
          </w:p>
        </w:tc>
        <w:tc>
          <w:tcPr>
            <w:tcW w:w="1596" w:type="dxa"/>
          </w:tcPr>
          <w:p w:rsidR="003E5944" w:rsidRPr="00500A8E" w:rsidRDefault="003E5944" w:rsidP="007E2EDF">
            <w:pPr>
              <w:jc w:val="center"/>
              <w:rPr>
                <w:sz w:val="24"/>
                <w:szCs w:val="24"/>
              </w:rPr>
            </w:pPr>
            <w:r w:rsidRPr="00500A8E">
              <w:rPr>
                <w:sz w:val="24"/>
                <w:szCs w:val="24"/>
              </w:rPr>
              <w:t>$1530</w:t>
            </w:r>
          </w:p>
        </w:tc>
      </w:tr>
      <w:tr w:rsidR="003E5944" w:rsidTr="007E2EDF">
        <w:tc>
          <w:tcPr>
            <w:tcW w:w="877" w:type="dxa"/>
          </w:tcPr>
          <w:p w:rsidR="003E5944" w:rsidRPr="00500A8E" w:rsidRDefault="003E5944" w:rsidP="007E2EDF">
            <w:pPr>
              <w:jc w:val="center"/>
              <w:rPr>
                <w:sz w:val="24"/>
                <w:szCs w:val="24"/>
              </w:rPr>
            </w:pPr>
            <w:r>
              <w:rPr>
                <w:sz w:val="24"/>
                <w:szCs w:val="24"/>
              </w:rPr>
              <w:t>1</w:t>
            </w:r>
          </w:p>
        </w:tc>
        <w:tc>
          <w:tcPr>
            <w:tcW w:w="2315" w:type="dxa"/>
          </w:tcPr>
          <w:p w:rsidR="003E5944" w:rsidRPr="00500A8E" w:rsidRDefault="003E5944" w:rsidP="007E2EDF">
            <w:pPr>
              <w:jc w:val="center"/>
              <w:rPr>
                <w:sz w:val="24"/>
                <w:szCs w:val="24"/>
              </w:rPr>
            </w:pPr>
            <w:r>
              <w:rPr>
                <w:sz w:val="24"/>
                <w:szCs w:val="24"/>
              </w:rPr>
              <w:t>BASSOON</w:t>
            </w:r>
          </w:p>
        </w:tc>
        <w:tc>
          <w:tcPr>
            <w:tcW w:w="1596" w:type="dxa"/>
          </w:tcPr>
          <w:p w:rsidR="003E5944" w:rsidRPr="00500A8E" w:rsidRDefault="003E5944" w:rsidP="007E2EDF">
            <w:pPr>
              <w:jc w:val="center"/>
              <w:rPr>
                <w:sz w:val="24"/>
                <w:szCs w:val="24"/>
              </w:rPr>
            </w:pPr>
            <w:r w:rsidRPr="00500A8E">
              <w:rPr>
                <w:sz w:val="24"/>
                <w:szCs w:val="24"/>
              </w:rPr>
              <w:t>FOX</w:t>
            </w:r>
          </w:p>
        </w:tc>
        <w:tc>
          <w:tcPr>
            <w:tcW w:w="1596" w:type="dxa"/>
          </w:tcPr>
          <w:p w:rsidR="003E5944" w:rsidRPr="00500A8E" w:rsidRDefault="003E5944" w:rsidP="007E2EDF">
            <w:pPr>
              <w:jc w:val="center"/>
              <w:rPr>
                <w:sz w:val="24"/>
                <w:szCs w:val="24"/>
              </w:rPr>
            </w:pPr>
            <w:r w:rsidRPr="00500A8E">
              <w:rPr>
                <w:sz w:val="24"/>
                <w:szCs w:val="24"/>
              </w:rPr>
              <w:t>NEMC</w:t>
            </w:r>
          </w:p>
        </w:tc>
        <w:tc>
          <w:tcPr>
            <w:tcW w:w="1596" w:type="dxa"/>
          </w:tcPr>
          <w:p w:rsidR="003E5944" w:rsidRPr="00500A8E" w:rsidRDefault="003E5944" w:rsidP="007E2EDF">
            <w:pPr>
              <w:jc w:val="center"/>
              <w:rPr>
                <w:sz w:val="24"/>
                <w:szCs w:val="24"/>
              </w:rPr>
            </w:pPr>
            <w:r w:rsidRPr="00500A8E">
              <w:rPr>
                <w:sz w:val="24"/>
                <w:szCs w:val="24"/>
              </w:rPr>
              <w:t xml:space="preserve">  4263</w:t>
            </w:r>
          </w:p>
        </w:tc>
        <w:tc>
          <w:tcPr>
            <w:tcW w:w="1596" w:type="dxa"/>
          </w:tcPr>
          <w:p w:rsidR="003E5944" w:rsidRPr="00500A8E" w:rsidRDefault="003E5944" w:rsidP="007E2EDF">
            <w:pPr>
              <w:jc w:val="center"/>
              <w:rPr>
                <w:sz w:val="24"/>
                <w:szCs w:val="24"/>
              </w:rPr>
            </w:pPr>
            <w:r w:rsidRPr="00500A8E">
              <w:rPr>
                <w:sz w:val="24"/>
                <w:szCs w:val="24"/>
              </w:rPr>
              <w:t xml:space="preserve">  </w:t>
            </w:r>
            <w:r>
              <w:rPr>
                <w:sz w:val="24"/>
                <w:szCs w:val="24"/>
              </w:rPr>
              <w:t>4263</w:t>
            </w:r>
          </w:p>
        </w:tc>
      </w:tr>
      <w:tr w:rsidR="003E5944" w:rsidTr="007E2EDF">
        <w:tc>
          <w:tcPr>
            <w:tcW w:w="877" w:type="dxa"/>
          </w:tcPr>
          <w:p w:rsidR="003E5944" w:rsidRPr="00500A8E" w:rsidRDefault="003E5944" w:rsidP="007E2EDF">
            <w:pPr>
              <w:jc w:val="center"/>
              <w:rPr>
                <w:sz w:val="24"/>
                <w:szCs w:val="24"/>
              </w:rPr>
            </w:pPr>
            <w:r w:rsidRPr="00500A8E">
              <w:rPr>
                <w:sz w:val="24"/>
                <w:szCs w:val="24"/>
              </w:rPr>
              <w:t>1</w:t>
            </w:r>
          </w:p>
        </w:tc>
        <w:tc>
          <w:tcPr>
            <w:tcW w:w="2315" w:type="dxa"/>
          </w:tcPr>
          <w:p w:rsidR="003E5944" w:rsidRPr="00500A8E" w:rsidRDefault="003E5944" w:rsidP="007E2EDF">
            <w:pPr>
              <w:jc w:val="center"/>
              <w:rPr>
                <w:sz w:val="24"/>
                <w:szCs w:val="24"/>
              </w:rPr>
            </w:pPr>
            <w:r w:rsidRPr="00500A8E">
              <w:rPr>
                <w:sz w:val="24"/>
                <w:szCs w:val="24"/>
              </w:rPr>
              <w:t>XYLOPHONE</w:t>
            </w:r>
          </w:p>
        </w:tc>
        <w:tc>
          <w:tcPr>
            <w:tcW w:w="1596" w:type="dxa"/>
          </w:tcPr>
          <w:p w:rsidR="003E5944" w:rsidRPr="00500A8E" w:rsidRDefault="003E5944" w:rsidP="007E2EDF">
            <w:pPr>
              <w:jc w:val="center"/>
              <w:rPr>
                <w:sz w:val="24"/>
                <w:szCs w:val="24"/>
              </w:rPr>
            </w:pPr>
            <w:r w:rsidRPr="00500A8E">
              <w:rPr>
                <w:sz w:val="24"/>
                <w:szCs w:val="24"/>
              </w:rPr>
              <w:t>YAMAHA</w:t>
            </w:r>
          </w:p>
        </w:tc>
        <w:tc>
          <w:tcPr>
            <w:tcW w:w="1596" w:type="dxa"/>
          </w:tcPr>
          <w:p w:rsidR="003E5944" w:rsidRPr="00500A8E" w:rsidRDefault="003E5944" w:rsidP="007E2EDF">
            <w:pPr>
              <w:jc w:val="center"/>
              <w:rPr>
                <w:sz w:val="24"/>
                <w:szCs w:val="24"/>
              </w:rPr>
            </w:pPr>
            <w:r w:rsidRPr="00500A8E">
              <w:rPr>
                <w:sz w:val="24"/>
                <w:szCs w:val="24"/>
              </w:rPr>
              <w:t>NEMC</w:t>
            </w:r>
          </w:p>
        </w:tc>
        <w:tc>
          <w:tcPr>
            <w:tcW w:w="1596" w:type="dxa"/>
          </w:tcPr>
          <w:p w:rsidR="003E5944" w:rsidRPr="00500A8E" w:rsidRDefault="003E5944" w:rsidP="007E2EDF">
            <w:pPr>
              <w:jc w:val="center"/>
              <w:rPr>
                <w:sz w:val="24"/>
                <w:szCs w:val="24"/>
              </w:rPr>
            </w:pPr>
            <w:r w:rsidRPr="00500A8E">
              <w:rPr>
                <w:sz w:val="24"/>
                <w:szCs w:val="24"/>
              </w:rPr>
              <w:t xml:space="preserve">  2312</w:t>
            </w:r>
          </w:p>
        </w:tc>
        <w:tc>
          <w:tcPr>
            <w:tcW w:w="1596" w:type="dxa"/>
          </w:tcPr>
          <w:p w:rsidR="003E5944" w:rsidRPr="00500A8E" w:rsidRDefault="003E5944" w:rsidP="007E2EDF">
            <w:pPr>
              <w:jc w:val="center"/>
              <w:rPr>
                <w:sz w:val="24"/>
                <w:szCs w:val="24"/>
              </w:rPr>
            </w:pPr>
            <w:r w:rsidRPr="00500A8E">
              <w:rPr>
                <w:sz w:val="24"/>
                <w:szCs w:val="24"/>
              </w:rPr>
              <w:t xml:space="preserve">  2312</w:t>
            </w:r>
          </w:p>
        </w:tc>
      </w:tr>
      <w:tr w:rsidR="003E5944" w:rsidTr="007E2EDF">
        <w:tc>
          <w:tcPr>
            <w:tcW w:w="877" w:type="dxa"/>
          </w:tcPr>
          <w:p w:rsidR="003E5944" w:rsidRPr="00500A8E" w:rsidRDefault="003E5944" w:rsidP="007E2EDF">
            <w:pPr>
              <w:jc w:val="center"/>
              <w:rPr>
                <w:sz w:val="24"/>
                <w:szCs w:val="24"/>
              </w:rPr>
            </w:pPr>
            <w:r>
              <w:rPr>
                <w:sz w:val="24"/>
                <w:szCs w:val="24"/>
              </w:rPr>
              <w:t>1</w:t>
            </w:r>
          </w:p>
        </w:tc>
        <w:tc>
          <w:tcPr>
            <w:tcW w:w="2315" w:type="dxa"/>
          </w:tcPr>
          <w:p w:rsidR="003E5944" w:rsidRPr="00500A8E" w:rsidRDefault="003E5944" w:rsidP="007E2EDF">
            <w:pPr>
              <w:jc w:val="center"/>
              <w:rPr>
                <w:sz w:val="24"/>
                <w:szCs w:val="24"/>
              </w:rPr>
            </w:pPr>
            <w:r>
              <w:rPr>
                <w:sz w:val="24"/>
                <w:szCs w:val="24"/>
              </w:rPr>
              <w:t>5-PIECE PRACTICE DRUM SET</w:t>
            </w:r>
          </w:p>
        </w:tc>
        <w:tc>
          <w:tcPr>
            <w:tcW w:w="1596" w:type="dxa"/>
          </w:tcPr>
          <w:p w:rsidR="003E5944" w:rsidRPr="00500A8E" w:rsidRDefault="003E5944" w:rsidP="007E2EDF">
            <w:pPr>
              <w:jc w:val="center"/>
              <w:rPr>
                <w:sz w:val="24"/>
                <w:szCs w:val="24"/>
              </w:rPr>
            </w:pPr>
            <w:r>
              <w:rPr>
                <w:sz w:val="24"/>
                <w:szCs w:val="24"/>
              </w:rPr>
              <w:t>REMO</w:t>
            </w:r>
          </w:p>
        </w:tc>
        <w:tc>
          <w:tcPr>
            <w:tcW w:w="1596" w:type="dxa"/>
          </w:tcPr>
          <w:p w:rsidR="003E5944" w:rsidRPr="00500A8E" w:rsidRDefault="003E5944" w:rsidP="007E2EDF">
            <w:pPr>
              <w:jc w:val="center"/>
              <w:rPr>
                <w:sz w:val="24"/>
                <w:szCs w:val="24"/>
              </w:rPr>
            </w:pPr>
            <w:r>
              <w:rPr>
                <w:sz w:val="24"/>
                <w:szCs w:val="24"/>
              </w:rPr>
              <w:t>NEMC</w:t>
            </w:r>
          </w:p>
        </w:tc>
        <w:tc>
          <w:tcPr>
            <w:tcW w:w="1596" w:type="dxa"/>
          </w:tcPr>
          <w:p w:rsidR="003E5944" w:rsidRPr="00500A8E" w:rsidRDefault="003E5944" w:rsidP="007E2EDF">
            <w:pPr>
              <w:rPr>
                <w:sz w:val="24"/>
                <w:szCs w:val="24"/>
              </w:rPr>
            </w:pPr>
            <w:r>
              <w:rPr>
                <w:sz w:val="24"/>
                <w:szCs w:val="24"/>
              </w:rPr>
              <w:t xml:space="preserve">           338</w:t>
            </w:r>
          </w:p>
        </w:tc>
        <w:tc>
          <w:tcPr>
            <w:tcW w:w="1596" w:type="dxa"/>
          </w:tcPr>
          <w:p w:rsidR="003E5944" w:rsidRPr="00500A8E" w:rsidRDefault="003E5944" w:rsidP="007E2EDF">
            <w:pPr>
              <w:jc w:val="center"/>
              <w:rPr>
                <w:sz w:val="24"/>
                <w:szCs w:val="24"/>
              </w:rPr>
            </w:pPr>
            <w:r>
              <w:rPr>
                <w:sz w:val="24"/>
                <w:szCs w:val="24"/>
              </w:rPr>
              <w:t xml:space="preserve">    338</w:t>
            </w:r>
          </w:p>
        </w:tc>
      </w:tr>
      <w:tr w:rsidR="003E5944" w:rsidTr="007E2EDF">
        <w:tc>
          <w:tcPr>
            <w:tcW w:w="877" w:type="dxa"/>
          </w:tcPr>
          <w:p w:rsidR="003E5944" w:rsidRPr="00500A8E" w:rsidRDefault="003E5944" w:rsidP="007E2EDF">
            <w:pPr>
              <w:jc w:val="center"/>
              <w:rPr>
                <w:sz w:val="24"/>
                <w:szCs w:val="24"/>
              </w:rPr>
            </w:pPr>
            <w:r>
              <w:rPr>
                <w:sz w:val="24"/>
                <w:szCs w:val="24"/>
              </w:rPr>
              <w:t>1</w:t>
            </w:r>
          </w:p>
        </w:tc>
        <w:tc>
          <w:tcPr>
            <w:tcW w:w="2315" w:type="dxa"/>
          </w:tcPr>
          <w:p w:rsidR="003E5944" w:rsidRPr="00500A8E" w:rsidRDefault="003E5944" w:rsidP="007E2EDF">
            <w:pPr>
              <w:jc w:val="center"/>
              <w:rPr>
                <w:sz w:val="24"/>
                <w:szCs w:val="24"/>
              </w:rPr>
            </w:pPr>
            <w:r>
              <w:rPr>
                <w:sz w:val="24"/>
                <w:szCs w:val="24"/>
              </w:rPr>
              <w:t>LOW VOLUME CYMBAL SET</w:t>
            </w:r>
          </w:p>
        </w:tc>
        <w:tc>
          <w:tcPr>
            <w:tcW w:w="1596" w:type="dxa"/>
          </w:tcPr>
          <w:p w:rsidR="003E5944" w:rsidRPr="00500A8E" w:rsidRDefault="003E5944" w:rsidP="007E2EDF">
            <w:pPr>
              <w:jc w:val="center"/>
              <w:rPr>
                <w:sz w:val="24"/>
                <w:szCs w:val="24"/>
              </w:rPr>
            </w:pPr>
            <w:r>
              <w:rPr>
                <w:sz w:val="24"/>
                <w:szCs w:val="24"/>
              </w:rPr>
              <w:t>ZILDJIAN</w:t>
            </w:r>
          </w:p>
        </w:tc>
        <w:tc>
          <w:tcPr>
            <w:tcW w:w="1596" w:type="dxa"/>
          </w:tcPr>
          <w:p w:rsidR="003E5944" w:rsidRPr="00500A8E" w:rsidRDefault="003E5944" w:rsidP="007E2EDF">
            <w:pPr>
              <w:jc w:val="center"/>
              <w:rPr>
                <w:sz w:val="24"/>
                <w:szCs w:val="24"/>
              </w:rPr>
            </w:pPr>
            <w:r>
              <w:rPr>
                <w:sz w:val="24"/>
                <w:szCs w:val="24"/>
              </w:rPr>
              <w:t>NEMC</w:t>
            </w:r>
          </w:p>
        </w:tc>
        <w:tc>
          <w:tcPr>
            <w:tcW w:w="1596" w:type="dxa"/>
          </w:tcPr>
          <w:p w:rsidR="003E5944" w:rsidRPr="00500A8E" w:rsidRDefault="003E5944" w:rsidP="007E2EDF">
            <w:pPr>
              <w:jc w:val="center"/>
              <w:rPr>
                <w:sz w:val="24"/>
                <w:szCs w:val="24"/>
              </w:rPr>
            </w:pPr>
            <w:r>
              <w:rPr>
                <w:sz w:val="24"/>
                <w:szCs w:val="24"/>
              </w:rPr>
              <w:t xml:space="preserve">   250</w:t>
            </w:r>
          </w:p>
        </w:tc>
        <w:tc>
          <w:tcPr>
            <w:tcW w:w="1596" w:type="dxa"/>
          </w:tcPr>
          <w:p w:rsidR="003E5944" w:rsidRPr="00500A8E" w:rsidRDefault="003E5944" w:rsidP="007E2EDF">
            <w:pPr>
              <w:jc w:val="center"/>
              <w:rPr>
                <w:sz w:val="24"/>
                <w:szCs w:val="24"/>
              </w:rPr>
            </w:pPr>
            <w:r>
              <w:rPr>
                <w:sz w:val="24"/>
                <w:szCs w:val="24"/>
              </w:rPr>
              <w:t xml:space="preserve">    250</w:t>
            </w:r>
          </w:p>
        </w:tc>
      </w:tr>
      <w:tr w:rsidR="003E5944" w:rsidTr="007E2EDF">
        <w:tc>
          <w:tcPr>
            <w:tcW w:w="877" w:type="dxa"/>
          </w:tcPr>
          <w:p w:rsidR="003E5944" w:rsidRPr="00500A8E" w:rsidRDefault="003E5944" w:rsidP="007E2EDF">
            <w:pPr>
              <w:jc w:val="center"/>
              <w:rPr>
                <w:sz w:val="24"/>
                <w:szCs w:val="24"/>
              </w:rPr>
            </w:pPr>
            <w:r w:rsidRPr="00500A8E">
              <w:rPr>
                <w:sz w:val="24"/>
                <w:szCs w:val="24"/>
              </w:rPr>
              <w:t>4 BOXES OF 6</w:t>
            </w:r>
          </w:p>
        </w:tc>
        <w:tc>
          <w:tcPr>
            <w:tcW w:w="2315" w:type="dxa"/>
          </w:tcPr>
          <w:p w:rsidR="003E5944" w:rsidRPr="00500A8E" w:rsidRDefault="003E5944" w:rsidP="007E2EDF">
            <w:pPr>
              <w:jc w:val="center"/>
              <w:rPr>
                <w:sz w:val="24"/>
                <w:szCs w:val="24"/>
              </w:rPr>
            </w:pPr>
            <w:r w:rsidRPr="00500A8E">
              <w:rPr>
                <w:sz w:val="24"/>
                <w:szCs w:val="24"/>
              </w:rPr>
              <w:t>MUSIC STANDS</w:t>
            </w:r>
          </w:p>
        </w:tc>
        <w:tc>
          <w:tcPr>
            <w:tcW w:w="1596" w:type="dxa"/>
          </w:tcPr>
          <w:p w:rsidR="003E5944" w:rsidRPr="00500A8E" w:rsidRDefault="003E5944" w:rsidP="007E2EDF">
            <w:pPr>
              <w:jc w:val="center"/>
              <w:rPr>
                <w:sz w:val="24"/>
                <w:szCs w:val="24"/>
              </w:rPr>
            </w:pPr>
            <w:r w:rsidRPr="00500A8E">
              <w:rPr>
                <w:sz w:val="24"/>
                <w:szCs w:val="24"/>
              </w:rPr>
              <w:t>MANHASSET</w:t>
            </w:r>
          </w:p>
        </w:tc>
        <w:tc>
          <w:tcPr>
            <w:tcW w:w="1596" w:type="dxa"/>
          </w:tcPr>
          <w:p w:rsidR="003E5944" w:rsidRPr="00500A8E" w:rsidRDefault="003E5944" w:rsidP="007E2EDF">
            <w:pPr>
              <w:jc w:val="center"/>
              <w:rPr>
                <w:sz w:val="24"/>
                <w:szCs w:val="24"/>
              </w:rPr>
            </w:pPr>
            <w:r w:rsidRPr="00500A8E">
              <w:rPr>
                <w:sz w:val="24"/>
                <w:szCs w:val="24"/>
              </w:rPr>
              <w:t>NEMC</w:t>
            </w:r>
          </w:p>
        </w:tc>
        <w:tc>
          <w:tcPr>
            <w:tcW w:w="1596" w:type="dxa"/>
          </w:tcPr>
          <w:p w:rsidR="003E5944" w:rsidRPr="00500A8E" w:rsidRDefault="003E5944" w:rsidP="007E2EDF">
            <w:pPr>
              <w:jc w:val="center"/>
              <w:rPr>
                <w:sz w:val="24"/>
                <w:szCs w:val="24"/>
              </w:rPr>
            </w:pPr>
            <w:r w:rsidRPr="00500A8E">
              <w:rPr>
                <w:sz w:val="24"/>
                <w:szCs w:val="24"/>
              </w:rPr>
              <w:t xml:space="preserve">   179</w:t>
            </w:r>
          </w:p>
        </w:tc>
        <w:tc>
          <w:tcPr>
            <w:tcW w:w="1596" w:type="dxa"/>
          </w:tcPr>
          <w:p w:rsidR="003E5944" w:rsidRPr="00500A8E" w:rsidRDefault="003E5944" w:rsidP="007E2EDF">
            <w:pPr>
              <w:jc w:val="center"/>
              <w:rPr>
                <w:sz w:val="24"/>
                <w:szCs w:val="24"/>
              </w:rPr>
            </w:pPr>
            <w:r w:rsidRPr="00500A8E">
              <w:rPr>
                <w:sz w:val="24"/>
                <w:szCs w:val="24"/>
              </w:rPr>
              <w:t xml:space="preserve">    716</w:t>
            </w:r>
          </w:p>
        </w:tc>
      </w:tr>
      <w:tr w:rsidR="003E5944" w:rsidTr="007E2EDF">
        <w:tc>
          <w:tcPr>
            <w:tcW w:w="877" w:type="dxa"/>
          </w:tcPr>
          <w:p w:rsidR="003E5944" w:rsidRPr="00500A8E" w:rsidRDefault="003E5944" w:rsidP="007E2EDF">
            <w:pPr>
              <w:jc w:val="center"/>
              <w:rPr>
                <w:sz w:val="24"/>
                <w:szCs w:val="24"/>
              </w:rPr>
            </w:pPr>
            <w:r>
              <w:rPr>
                <w:sz w:val="24"/>
                <w:szCs w:val="24"/>
              </w:rPr>
              <w:t>2</w:t>
            </w:r>
          </w:p>
        </w:tc>
        <w:tc>
          <w:tcPr>
            <w:tcW w:w="2315" w:type="dxa"/>
          </w:tcPr>
          <w:p w:rsidR="003E5944" w:rsidRPr="00500A8E" w:rsidRDefault="003E5944" w:rsidP="007E2EDF">
            <w:pPr>
              <w:jc w:val="center"/>
              <w:rPr>
                <w:sz w:val="24"/>
                <w:szCs w:val="24"/>
              </w:rPr>
            </w:pPr>
            <w:r>
              <w:rPr>
                <w:sz w:val="24"/>
                <w:szCs w:val="24"/>
              </w:rPr>
              <w:t>MUSIC STAND RACKS</w:t>
            </w:r>
          </w:p>
        </w:tc>
        <w:tc>
          <w:tcPr>
            <w:tcW w:w="1596" w:type="dxa"/>
          </w:tcPr>
          <w:p w:rsidR="003E5944" w:rsidRPr="00500A8E" w:rsidRDefault="003E5944" w:rsidP="007E2EDF">
            <w:pPr>
              <w:jc w:val="center"/>
              <w:rPr>
                <w:sz w:val="24"/>
                <w:szCs w:val="24"/>
              </w:rPr>
            </w:pPr>
            <w:r>
              <w:rPr>
                <w:sz w:val="24"/>
                <w:szCs w:val="24"/>
              </w:rPr>
              <w:t>NAMHASSET</w:t>
            </w:r>
          </w:p>
        </w:tc>
        <w:tc>
          <w:tcPr>
            <w:tcW w:w="1596" w:type="dxa"/>
          </w:tcPr>
          <w:p w:rsidR="003E5944" w:rsidRPr="00500A8E" w:rsidRDefault="003E5944" w:rsidP="007E2EDF">
            <w:pPr>
              <w:jc w:val="center"/>
              <w:rPr>
                <w:sz w:val="24"/>
                <w:szCs w:val="24"/>
              </w:rPr>
            </w:pPr>
            <w:r>
              <w:rPr>
                <w:sz w:val="24"/>
                <w:szCs w:val="24"/>
              </w:rPr>
              <w:t>NEMC</w:t>
            </w:r>
          </w:p>
        </w:tc>
        <w:tc>
          <w:tcPr>
            <w:tcW w:w="1596" w:type="dxa"/>
          </w:tcPr>
          <w:p w:rsidR="003E5944" w:rsidRPr="00500A8E" w:rsidRDefault="003E5944" w:rsidP="007E2EDF">
            <w:pPr>
              <w:jc w:val="center"/>
              <w:rPr>
                <w:sz w:val="24"/>
                <w:szCs w:val="24"/>
              </w:rPr>
            </w:pPr>
            <w:r>
              <w:rPr>
                <w:sz w:val="24"/>
                <w:szCs w:val="24"/>
              </w:rPr>
              <w:t xml:space="preserve">   221</w:t>
            </w:r>
          </w:p>
        </w:tc>
        <w:tc>
          <w:tcPr>
            <w:tcW w:w="1596" w:type="dxa"/>
          </w:tcPr>
          <w:p w:rsidR="003E5944" w:rsidRPr="00500A8E" w:rsidRDefault="003E5944" w:rsidP="007E2EDF">
            <w:pPr>
              <w:jc w:val="center"/>
              <w:rPr>
                <w:sz w:val="24"/>
                <w:szCs w:val="24"/>
              </w:rPr>
            </w:pPr>
            <w:r>
              <w:rPr>
                <w:sz w:val="24"/>
                <w:szCs w:val="24"/>
              </w:rPr>
              <w:t xml:space="preserve">    442</w:t>
            </w:r>
          </w:p>
        </w:tc>
      </w:tr>
      <w:tr w:rsidR="003E5944" w:rsidTr="007E2EDF">
        <w:tc>
          <w:tcPr>
            <w:tcW w:w="877" w:type="dxa"/>
          </w:tcPr>
          <w:p w:rsidR="003E5944" w:rsidRDefault="003E5944" w:rsidP="007E2EDF">
            <w:pPr>
              <w:jc w:val="center"/>
              <w:rPr>
                <w:sz w:val="24"/>
                <w:szCs w:val="24"/>
              </w:rPr>
            </w:pPr>
            <w:r>
              <w:rPr>
                <w:sz w:val="24"/>
                <w:szCs w:val="24"/>
              </w:rPr>
              <w:t>1</w:t>
            </w:r>
          </w:p>
        </w:tc>
        <w:tc>
          <w:tcPr>
            <w:tcW w:w="2315" w:type="dxa"/>
          </w:tcPr>
          <w:p w:rsidR="003E5944" w:rsidRDefault="003E5944" w:rsidP="007E2EDF">
            <w:pPr>
              <w:jc w:val="center"/>
              <w:rPr>
                <w:sz w:val="24"/>
                <w:szCs w:val="24"/>
              </w:rPr>
            </w:pPr>
            <w:r>
              <w:rPr>
                <w:sz w:val="24"/>
                <w:szCs w:val="24"/>
              </w:rPr>
              <w:t>EUPHONIUM</w:t>
            </w:r>
          </w:p>
        </w:tc>
        <w:tc>
          <w:tcPr>
            <w:tcW w:w="1596" w:type="dxa"/>
          </w:tcPr>
          <w:p w:rsidR="003E5944" w:rsidRDefault="003E5944" w:rsidP="007E2EDF">
            <w:pPr>
              <w:jc w:val="center"/>
              <w:rPr>
                <w:sz w:val="24"/>
                <w:szCs w:val="24"/>
              </w:rPr>
            </w:pPr>
            <w:r>
              <w:rPr>
                <w:sz w:val="24"/>
                <w:szCs w:val="24"/>
              </w:rPr>
              <w:t>DILLON</w:t>
            </w:r>
          </w:p>
        </w:tc>
        <w:tc>
          <w:tcPr>
            <w:tcW w:w="1596" w:type="dxa"/>
          </w:tcPr>
          <w:p w:rsidR="003E5944" w:rsidRDefault="003E5944" w:rsidP="007E2EDF">
            <w:pPr>
              <w:jc w:val="center"/>
              <w:rPr>
                <w:sz w:val="24"/>
                <w:szCs w:val="24"/>
              </w:rPr>
            </w:pPr>
            <w:r>
              <w:rPr>
                <w:sz w:val="24"/>
                <w:szCs w:val="24"/>
              </w:rPr>
              <w:t>DILLON</w:t>
            </w:r>
          </w:p>
        </w:tc>
        <w:tc>
          <w:tcPr>
            <w:tcW w:w="1596" w:type="dxa"/>
          </w:tcPr>
          <w:p w:rsidR="003E5944" w:rsidRDefault="003E5944" w:rsidP="007E2EDF">
            <w:pPr>
              <w:jc w:val="center"/>
              <w:rPr>
                <w:sz w:val="24"/>
                <w:szCs w:val="24"/>
              </w:rPr>
            </w:pPr>
            <w:r>
              <w:rPr>
                <w:sz w:val="24"/>
                <w:szCs w:val="24"/>
              </w:rPr>
              <w:t xml:space="preserve"> 1255</w:t>
            </w:r>
          </w:p>
        </w:tc>
        <w:tc>
          <w:tcPr>
            <w:tcW w:w="1596" w:type="dxa"/>
          </w:tcPr>
          <w:p w:rsidR="003E5944" w:rsidRDefault="003E5944" w:rsidP="007E2EDF">
            <w:pPr>
              <w:jc w:val="center"/>
              <w:rPr>
                <w:sz w:val="24"/>
                <w:szCs w:val="24"/>
              </w:rPr>
            </w:pPr>
            <w:r>
              <w:rPr>
                <w:sz w:val="24"/>
                <w:szCs w:val="24"/>
              </w:rPr>
              <w:t xml:space="preserve">  1255</w:t>
            </w:r>
          </w:p>
        </w:tc>
      </w:tr>
      <w:tr w:rsidR="003E5944" w:rsidTr="007E2EDF">
        <w:tc>
          <w:tcPr>
            <w:tcW w:w="877" w:type="dxa"/>
          </w:tcPr>
          <w:p w:rsidR="003E5944" w:rsidRDefault="003E5944" w:rsidP="007E2EDF">
            <w:pPr>
              <w:jc w:val="center"/>
              <w:rPr>
                <w:sz w:val="24"/>
                <w:szCs w:val="24"/>
              </w:rPr>
            </w:pPr>
            <w:r>
              <w:rPr>
                <w:sz w:val="24"/>
                <w:szCs w:val="24"/>
              </w:rPr>
              <w:t xml:space="preserve">1 </w:t>
            </w:r>
          </w:p>
        </w:tc>
        <w:tc>
          <w:tcPr>
            <w:tcW w:w="2315" w:type="dxa"/>
          </w:tcPr>
          <w:p w:rsidR="003E5944" w:rsidRDefault="003E5944" w:rsidP="007E2EDF">
            <w:pPr>
              <w:jc w:val="center"/>
              <w:rPr>
                <w:sz w:val="24"/>
                <w:szCs w:val="24"/>
              </w:rPr>
            </w:pPr>
            <w:r>
              <w:rPr>
                <w:sz w:val="24"/>
                <w:szCs w:val="24"/>
              </w:rPr>
              <w:t>BASS CLARINET</w:t>
            </w:r>
          </w:p>
        </w:tc>
        <w:tc>
          <w:tcPr>
            <w:tcW w:w="1596" w:type="dxa"/>
          </w:tcPr>
          <w:p w:rsidR="003E5944" w:rsidRDefault="003E5944" w:rsidP="007E2EDF">
            <w:pPr>
              <w:jc w:val="center"/>
              <w:rPr>
                <w:sz w:val="24"/>
                <w:szCs w:val="24"/>
              </w:rPr>
            </w:pPr>
            <w:r>
              <w:rPr>
                <w:sz w:val="24"/>
                <w:szCs w:val="24"/>
              </w:rPr>
              <w:t>LEBLANC</w:t>
            </w:r>
          </w:p>
        </w:tc>
        <w:tc>
          <w:tcPr>
            <w:tcW w:w="1596" w:type="dxa"/>
          </w:tcPr>
          <w:p w:rsidR="003E5944" w:rsidRDefault="003E5944" w:rsidP="007E2EDF">
            <w:pPr>
              <w:jc w:val="center"/>
              <w:rPr>
                <w:sz w:val="24"/>
                <w:szCs w:val="24"/>
              </w:rPr>
            </w:pPr>
            <w:r>
              <w:rPr>
                <w:sz w:val="24"/>
                <w:szCs w:val="24"/>
              </w:rPr>
              <w:t>NEMC</w:t>
            </w:r>
          </w:p>
        </w:tc>
        <w:tc>
          <w:tcPr>
            <w:tcW w:w="1596" w:type="dxa"/>
          </w:tcPr>
          <w:p w:rsidR="003E5944" w:rsidRDefault="003E5944" w:rsidP="007E2EDF">
            <w:pPr>
              <w:jc w:val="center"/>
              <w:rPr>
                <w:sz w:val="24"/>
                <w:szCs w:val="24"/>
              </w:rPr>
            </w:pPr>
            <w:r>
              <w:rPr>
                <w:sz w:val="24"/>
                <w:szCs w:val="24"/>
              </w:rPr>
              <w:t xml:space="preserve"> 1800</w:t>
            </w:r>
          </w:p>
        </w:tc>
        <w:tc>
          <w:tcPr>
            <w:tcW w:w="1596" w:type="dxa"/>
          </w:tcPr>
          <w:p w:rsidR="003E5944" w:rsidRDefault="003E5944" w:rsidP="007E2EDF">
            <w:pPr>
              <w:jc w:val="center"/>
              <w:rPr>
                <w:sz w:val="24"/>
                <w:szCs w:val="24"/>
              </w:rPr>
            </w:pPr>
            <w:r>
              <w:rPr>
                <w:sz w:val="24"/>
                <w:szCs w:val="24"/>
              </w:rPr>
              <w:t xml:space="preserve"> 1800</w:t>
            </w:r>
          </w:p>
        </w:tc>
      </w:tr>
      <w:tr w:rsidR="003E5944" w:rsidTr="007E2EDF">
        <w:tc>
          <w:tcPr>
            <w:tcW w:w="877" w:type="dxa"/>
          </w:tcPr>
          <w:p w:rsidR="003E5944" w:rsidRDefault="003E5944" w:rsidP="007E2EDF">
            <w:pPr>
              <w:jc w:val="center"/>
              <w:rPr>
                <w:sz w:val="24"/>
                <w:szCs w:val="24"/>
              </w:rPr>
            </w:pPr>
          </w:p>
        </w:tc>
        <w:tc>
          <w:tcPr>
            <w:tcW w:w="2315" w:type="dxa"/>
          </w:tcPr>
          <w:p w:rsidR="003E5944" w:rsidRDefault="003E5944" w:rsidP="007E2EDF">
            <w:pPr>
              <w:jc w:val="center"/>
              <w:rPr>
                <w:sz w:val="24"/>
                <w:szCs w:val="24"/>
              </w:rPr>
            </w:pPr>
            <w:r>
              <w:rPr>
                <w:sz w:val="24"/>
                <w:szCs w:val="24"/>
              </w:rPr>
              <w:t>ASSORTED HAND PERCUSSION AND MALLETS</w:t>
            </w:r>
          </w:p>
        </w:tc>
        <w:tc>
          <w:tcPr>
            <w:tcW w:w="1596" w:type="dxa"/>
          </w:tcPr>
          <w:p w:rsidR="003E5944" w:rsidRDefault="003E5944" w:rsidP="007E2EDF">
            <w:pPr>
              <w:jc w:val="center"/>
              <w:rPr>
                <w:sz w:val="24"/>
                <w:szCs w:val="24"/>
              </w:rPr>
            </w:pPr>
          </w:p>
        </w:tc>
        <w:tc>
          <w:tcPr>
            <w:tcW w:w="1596" w:type="dxa"/>
          </w:tcPr>
          <w:p w:rsidR="003E5944" w:rsidRDefault="003E5944" w:rsidP="007E2EDF">
            <w:pPr>
              <w:jc w:val="center"/>
              <w:rPr>
                <w:sz w:val="24"/>
                <w:szCs w:val="24"/>
              </w:rPr>
            </w:pPr>
            <w:r>
              <w:rPr>
                <w:sz w:val="24"/>
                <w:szCs w:val="24"/>
              </w:rPr>
              <w:t xml:space="preserve"> </w:t>
            </w:r>
          </w:p>
        </w:tc>
        <w:tc>
          <w:tcPr>
            <w:tcW w:w="1596" w:type="dxa"/>
          </w:tcPr>
          <w:p w:rsidR="003E5944" w:rsidRPr="003E4FF0" w:rsidRDefault="003E5944" w:rsidP="007E2EDF">
            <w:pPr>
              <w:jc w:val="center"/>
              <w:rPr>
                <w:sz w:val="24"/>
                <w:szCs w:val="24"/>
              </w:rPr>
            </w:pPr>
            <w:r>
              <w:rPr>
                <w:sz w:val="24"/>
                <w:szCs w:val="24"/>
              </w:rPr>
              <w:t xml:space="preserve">   200</w:t>
            </w:r>
          </w:p>
        </w:tc>
        <w:tc>
          <w:tcPr>
            <w:tcW w:w="1596" w:type="dxa"/>
          </w:tcPr>
          <w:p w:rsidR="003E5944" w:rsidRDefault="003E5944" w:rsidP="007E2EDF">
            <w:pPr>
              <w:jc w:val="center"/>
              <w:rPr>
                <w:sz w:val="24"/>
                <w:szCs w:val="24"/>
              </w:rPr>
            </w:pPr>
            <w:r>
              <w:rPr>
                <w:sz w:val="24"/>
                <w:szCs w:val="24"/>
              </w:rPr>
              <w:t xml:space="preserve">   200</w:t>
            </w:r>
          </w:p>
        </w:tc>
      </w:tr>
      <w:tr w:rsidR="003E5944" w:rsidTr="007E2EDF">
        <w:tc>
          <w:tcPr>
            <w:tcW w:w="877" w:type="dxa"/>
          </w:tcPr>
          <w:p w:rsidR="003E5944" w:rsidRDefault="003E5944" w:rsidP="007E2EDF">
            <w:pPr>
              <w:jc w:val="center"/>
              <w:rPr>
                <w:sz w:val="24"/>
                <w:szCs w:val="24"/>
              </w:rPr>
            </w:pPr>
            <w:r>
              <w:rPr>
                <w:sz w:val="24"/>
                <w:szCs w:val="24"/>
              </w:rPr>
              <w:t>80</w:t>
            </w:r>
          </w:p>
        </w:tc>
        <w:tc>
          <w:tcPr>
            <w:tcW w:w="2315" w:type="dxa"/>
          </w:tcPr>
          <w:p w:rsidR="003E5944" w:rsidRDefault="003E5944" w:rsidP="007E2EDF">
            <w:pPr>
              <w:jc w:val="center"/>
              <w:rPr>
                <w:sz w:val="24"/>
                <w:szCs w:val="24"/>
              </w:rPr>
            </w:pPr>
            <w:r>
              <w:rPr>
                <w:sz w:val="24"/>
                <w:szCs w:val="24"/>
              </w:rPr>
              <w:t>MUSIC FOLIOS</w:t>
            </w:r>
          </w:p>
        </w:tc>
        <w:tc>
          <w:tcPr>
            <w:tcW w:w="1596" w:type="dxa"/>
          </w:tcPr>
          <w:p w:rsidR="003E5944" w:rsidRDefault="003E5944" w:rsidP="007E2EDF">
            <w:pPr>
              <w:jc w:val="center"/>
              <w:rPr>
                <w:sz w:val="24"/>
                <w:szCs w:val="24"/>
              </w:rPr>
            </w:pPr>
            <w:r>
              <w:rPr>
                <w:sz w:val="24"/>
                <w:szCs w:val="24"/>
              </w:rPr>
              <w:t>DEEP RIVER</w:t>
            </w:r>
          </w:p>
        </w:tc>
        <w:tc>
          <w:tcPr>
            <w:tcW w:w="1596" w:type="dxa"/>
          </w:tcPr>
          <w:p w:rsidR="003E5944" w:rsidRDefault="003E5944" w:rsidP="007E2EDF">
            <w:pPr>
              <w:jc w:val="center"/>
              <w:rPr>
                <w:sz w:val="24"/>
                <w:szCs w:val="24"/>
              </w:rPr>
            </w:pPr>
            <w:r>
              <w:rPr>
                <w:sz w:val="24"/>
                <w:szCs w:val="24"/>
              </w:rPr>
              <w:t>JW PEPPER</w:t>
            </w:r>
          </w:p>
        </w:tc>
        <w:tc>
          <w:tcPr>
            <w:tcW w:w="1596" w:type="dxa"/>
          </w:tcPr>
          <w:p w:rsidR="003E5944" w:rsidRPr="0026489B" w:rsidRDefault="003E5944" w:rsidP="007E2EDF">
            <w:pPr>
              <w:jc w:val="center"/>
              <w:rPr>
                <w:sz w:val="24"/>
                <w:szCs w:val="24"/>
              </w:rPr>
            </w:pPr>
            <w:r>
              <w:rPr>
                <w:sz w:val="24"/>
                <w:szCs w:val="24"/>
              </w:rPr>
              <w:t xml:space="preserve">     25</w:t>
            </w:r>
          </w:p>
        </w:tc>
        <w:tc>
          <w:tcPr>
            <w:tcW w:w="1596" w:type="dxa"/>
          </w:tcPr>
          <w:p w:rsidR="003E5944" w:rsidRPr="0026489B" w:rsidRDefault="003E5944" w:rsidP="007E2EDF">
            <w:pPr>
              <w:jc w:val="center"/>
              <w:rPr>
                <w:sz w:val="24"/>
                <w:szCs w:val="24"/>
              </w:rPr>
            </w:pPr>
            <w:r>
              <w:rPr>
                <w:sz w:val="24"/>
                <w:szCs w:val="24"/>
              </w:rPr>
              <w:t>2000</w:t>
            </w:r>
          </w:p>
        </w:tc>
      </w:tr>
      <w:tr w:rsidR="003E5944" w:rsidTr="007E2EDF">
        <w:tc>
          <w:tcPr>
            <w:tcW w:w="877" w:type="dxa"/>
          </w:tcPr>
          <w:p w:rsidR="003E5944" w:rsidRDefault="003E5944" w:rsidP="007E2EDF">
            <w:pPr>
              <w:jc w:val="center"/>
              <w:rPr>
                <w:sz w:val="24"/>
                <w:szCs w:val="24"/>
              </w:rPr>
            </w:pPr>
            <w:r>
              <w:rPr>
                <w:sz w:val="24"/>
                <w:szCs w:val="24"/>
              </w:rPr>
              <w:t>3</w:t>
            </w:r>
          </w:p>
        </w:tc>
        <w:tc>
          <w:tcPr>
            <w:tcW w:w="2315" w:type="dxa"/>
          </w:tcPr>
          <w:p w:rsidR="003E5944" w:rsidRDefault="003E5944" w:rsidP="007E2EDF">
            <w:pPr>
              <w:jc w:val="center"/>
              <w:rPr>
                <w:sz w:val="24"/>
                <w:szCs w:val="24"/>
              </w:rPr>
            </w:pPr>
            <w:r>
              <w:rPr>
                <w:sz w:val="24"/>
                <w:szCs w:val="24"/>
              </w:rPr>
              <w:t>INSTRUMENT STORAGE CABINETS</w:t>
            </w:r>
          </w:p>
        </w:tc>
        <w:tc>
          <w:tcPr>
            <w:tcW w:w="1596" w:type="dxa"/>
          </w:tcPr>
          <w:p w:rsidR="003E5944" w:rsidRDefault="003E5944" w:rsidP="007E2EDF">
            <w:pPr>
              <w:jc w:val="center"/>
              <w:rPr>
                <w:sz w:val="24"/>
                <w:szCs w:val="24"/>
              </w:rPr>
            </w:pPr>
            <w:r>
              <w:rPr>
                <w:sz w:val="24"/>
                <w:szCs w:val="24"/>
              </w:rPr>
              <w:t>WENGER</w:t>
            </w:r>
          </w:p>
        </w:tc>
        <w:tc>
          <w:tcPr>
            <w:tcW w:w="1596" w:type="dxa"/>
          </w:tcPr>
          <w:p w:rsidR="003E5944" w:rsidRDefault="003E5944" w:rsidP="007E2EDF">
            <w:pPr>
              <w:jc w:val="center"/>
              <w:rPr>
                <w:sz w:val="24"/>
                <w:szCs w:val="24"/>
              </w:rPr>
            </w:pPr>
            <w:r>
              <w:rPr>
                <w:sz w:val="24"/>
                <w:szCs w:val="24"/>
              </w:rPr>
              <w:t>WENGER</w:t>
            </w:r>
          </w:p>
        </w:tc>
        <w:tc>
          <w:tcPr>
            <w:tcW w:w="1596" w:type="dxa"/>
          </w:tcPr>
          <w:p w:rsidR="003E5944" w:rsidRDefault="003E5944" w:rsidP="007E2EDF">
            <w:pPr>
              <w:jc w:val="center"/>
              <w:rPr>
                <w:sz w:val="24"/>
                <w:szCs w:val="24"/>
              </w:rPr>
            </w:pPr>
            <w:r>
              <w:rPr>
                <w:sz w:val="24"/>
                <w:szCs w:val="24"/>
              </w:rPr>
              <w:t>1847</w:t>
            </w:r>
          </w:p>
        </w:tc>
        <w:tc>
          <w:tcPr>
            <w:tcW w:w="1596" w:type="dxa"/>
          </w:tcPr>
          <w:p w:rsidR="003E5944" w:rsidRDefault="003E5944" w:rsidP="007E2EDF">
            <w:pPr>
              <w:jc w:val="center"/>
              <w:rPr>
                <w:sz w:val="24"/>
                <w:szCs w:val="24"/>
              </w:rPr>
            </w:pPr>
            <w:r>
              <w:rPr>
                <w:sz w:val="24"/>
                <w:szCs w:val="24"/>
              </w:rPr>
              <w:t>5541</w:t>
            </w:r>
          </w:p>
        </w:tc>
      </w:tr>
      <w:tr w:rsidR="003E5944" w:rsidTr="007E2EDF">
        <w:tc>
          <w:tcPr>
            <w:tcW w:w="877" w:type="dxa"/>
          </w:tcPr>
          <w:p w:rsidR="003E5944" w:rsidRDefault="003E5944" w:rsidP="007E2EDF">
            <w:pPr>
              <w:jc w:val="center"/>
              <w:rPr>
                <w:sz w:val="24"/>
                <w:szCs w:val="24"/>
              </w:rPr>
            </w:pPr>
          </w:p>
        </w:tc>
        <w:tc>
          <w:tcPr>
            <w:tcW w:w="2315" w:type="dxa"/>
          </w:tcPr>
          <w:p w:rsidR="003E5944" w:rsidRDefault="003E5944" w:rsidP="007E2EDF">
            <w:pPr>
              <w:jc w:val="center"/>
              <w:rPr>
                <w:sz w:val="24"/>
                <w:szCs w:val="24"/>
              </w:rPr>
            </w:pPr>
          </w:p>
        </w:tc>
        <w:tc>
          <w:tcPr>
            <w:tcW w:w="1596" w:type="dxa"/>
          </w:tcPr>
          <w:p w:rsidR="003E5944" w:rsidRDefault="003E5944" w:rsidP="007E2EDF">
            <w:pPr>
              <w:jc w:val="center"/>
              <w:rPr>
                <w:sz w:val="24"/>
                <w:szCs w:val="24"/>
              </w:rPr>
            </w:pPr>
          </w:p>
        </w:tc>
        <w:tc>
          <w:tcPr>
            <w:tcW w:w="1596" w:type="dxa"/>
          </w:tcPr>
          <w:p w:rsidR="003E5944" w:rsidRDefault="003E5944" w:rsidP="007E2EDF">
            <w:pPr>
              <w:jc w:val="center"/>
              <w:rPr>
                <w:sz w:val="24"/>
                <w:szCs w:val="24"/>
              </w:rPr>
            </w:pPr>
          </w:p>
        </w:tc>
        <w:tc>
          <w:tcPr>
            <w:tcW w:w="1596" w:type="dxa"/>
          </w:tcPr>
          <w:p w:rsidR="003E5944" w:rsidRPr="0026489B" w:rsidRDefault="003E5944" w:rsidP="007E2EDF">
            <w:pPr>
              <w:jc w:val="center"/>
              <w:rPr>
                <w:b/>
                <w:sz w:val="32"/>
                <w:szCs w:val="32"/>
              </w:rPr>
            </w:pPr>
            <w:r>
              <w:rPr>
                <w:b/>
                <w:sz w:val="32"/>
                <w:szCs w:val="32"/>
              </w:rPr>
              <w:t>TOTAL</w:t>
            </w:r>
          </w:p>
        </w:tc>
        <w:tc>
          <w:tcPr>
            <w:tcW w:w="1596" w:type="dxa"/>
          </w:tcPr>
          <w:p w:rsidR="003E5944" w:rsidRPr="0026489B" w:rsidRDefault="003E5944" w:rsidP="007E2EDF">
            <w:pPr>
              <w:jc w:val="center"/>
              <w:rPr>
                <w:b/>
                <w:sz w:val="32"/>
                <w:szCs w:val="32"/>
              </w:rPr>
            </w:pPr>
            <w:r>
              <w:rPr>
                <w:b/>
                <w:sz w:val="32"/>
                <w:szCs w:val="32"/>
              </w:rPr>
              <w:t>20,647</w:t>
            </w:r>
          </w:p>
        </w:tc>
      </w:tr>
    </w:tbl>
    <w:p w:rsidR="00F53E3A" w:rsidRDefault="00F53E3A">
      <w:pPr>
        <w:spacing w:after="0" w:line="240" w:lineRule="auto"/>
      </w:pPr>
    </w:p>
    <w:sectPr w:rsidR="00F53E3A">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A9A" w:rsidRDefault="00291A9A">
      <w:pPr>
        <w:spacing w:after="0" w:line="240" w:lineRule="auto"/>
      </w:pPr>
      <w:r>
        <w:separator/>
      </w:r>
    </w:p>
  </w:endnote>
  <w:endnote w:type="continuationSeparator" w:id="0">
    <w:p w:rsidR="00291A9A" w:rsidRDefault="0029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A9A" w:rsidRDefault="00291A9A">
      <w:pPr>
        <w:spacing w:after="0" w:line="240" w:lineRule="auto"/>
      </w:pPr>
      <w:r>
        <w:separator/>
      </w:r>
    </w:p>
  </w:footnote>
  <w:footnote w:type="continuationSeparator" w:id="0">
    <w:p w:rsidR="00291A9A" w:rsidRDefault="00291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3A" w:rsidRDefault="00254BF2">
    <w:pPr>
      <w:tabs>
        <w:tab w:val="center" w:pos="4680"/>
        <w:tab w:val="right" w:pos="9360"/>
      </w:tabs>
      <w:spacing w:before="720" w:after="0" w:line="240" w:lineRule="auto"/>
      <w:jc w:val="right"/>
    </w:pPr>
    <w:r>
      <w:fldChar w:fldCharType="begin"/>
    </w:r>
    <w:r>
      <w:instrText>PAGE</w:instrText>
    </w:r>
    <w:r>
      <w:fldChar w:fldCharType="separate"/>
    </w:r>
    <w:r w:rsidR="00A039B7">
      <w:rPr>
        <w:noProof/>
      </w:rPr>
      <w:t>1</w:t>
    </w:r>
    <w:r>
      <w:fldChar w:fldCharType="end"/>
    </w:r>
  </w:p>
  <w:p w:rsidR="00F53E3A" w:rsidRDefault="00F53E3A">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3A"/>
    <w:rsid w:val="00254BF2"/>
    <w:rsid w:val="00291A9A"/>
    <w:rsid w:val="003E5944"/>
    <w:rsid w:val="00935D38"/>
    <w:rsid w:val="00A039B7"/>
    <w:rsid w:val="00AA4641"/>
    <w:rsid w:val="00F5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6FA42-9791-4473-A9D9-C46BE46F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styleId="TableGrid">
    <w:name w:val="Table Grid"/>
    <w:basedOn w:val="TableNormal"/>
    <w:uiPriority w:val="59"/>
    <w:rsid w:val="003E5944"/>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NJIT</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Chirag Arya</dc:creator>
  <cp:lastModifiedBy>Mark Neubauer</cp:lastModifiedBy>
  <cp:revision>2</cp:revision>
  <dcterms:created xsi:type="dcterms:W3CDTF">2016-11-03T03:02:00Z</dcterms:created>
  <dcterms:modified xsi:type="dcterms:W3CDTF">2016-11-03T03:02:00Z</dcterms:modified>
</cp:coreProperties>
</file>